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8"/>
          <w:szCs w:val="28"/>
          <w:rtl w:val="0"/>
        </w:rPr>
        <w:t xml:space="preserve">VEDANG BARHATE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jc w:val="center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Chicago, IL, 60616 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425) 518-3273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 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vedang.inbox@gmail.com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https://www.linkedin.com/in/barhate-vedang/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pBd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808080" w:space="0" w:sz="6" w:val="single"/>
          <w:right w:color="000000" w:space="0" w:sz="0" w:val="none"/>
        </w:pBdr>
        <w:rPr>
          <w:rFonts w:ascii="Arial" w:cs="Arial" w:eastAsia="Arial" w:hAnsi="Arial"/>
          <w:b w:val="1"/>
          <w:bCs w:val="1"/>
          <w:smallCaps w:val="1"/>
          <w:color w:val="1f497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f497d"/>
          <w:sz w:val="20"/>
          <w:szCs w:val="20"/>
          <w:rtl w:val="0"/>
        </w:rPr>
        <w:t xml:space="preserve">SKILLS AND CERTIFICATIONS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Programming Language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Java, Python, JavaScript, TypeScript, Go, SQL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Development &amp; Testing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React, Next.js, Tailwind CSS, Spring Boot, Hibernate, FastAPI, JUnit, Mockito, Pytest, Jest, Vitest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Data &amp; Infrastructure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PostgreSQL, DynamoDB, Flyway, AWS, S3, Docker, Jenkins, Kafka, Kinesis, RabbitMQ, SQS, Terraform, EKS, Kubernetes, Elasticsearch, AWS KMS, DMS, MongoDB, JFrog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Certifications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AWS Developer, AWS Solutions Architect, AWS Cloud Practitioner, Deep Learning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Specialization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808080" w:space="0" w:sz="6" w:val="single"/>
          <w:right w:color="000000" w:space="0" w:sz="0" w:val="none"/>
        </w:pBdr>
        <w:rPr>
          <w:rFonts w:ascii="Arial" w:cs="Arial" w:eastAsia="Arial" w:hAnsi="Arial"/>
          <w:b w:val="1"/>
          <w:bCs w:val="1"/>
          <w:smallCaps w:val="1"/>
          <w:color w:val="1f497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f497d"/>
          <w:sz w:val="20"/>
          <w:szCs w:val="20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Software Development Engineer II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Adyen, Chicago, 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 2025 - Present</w:t>
      </w:r>
    </w:p>
    <w:p w:rsidR="00000000" w:rsidDel="00000000" w:rsidP="00000000" w:rsidRDefault="00000000" w:rsidRPr="00000000" w14:paraId="0000000D">
      <w:pPr>
        <w:tabs>
          <w:tab w:val="right" w:leader="none" w:pos="10800"/>
        </w:tabs>
        <w:ind w:left="9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Project: - Dispute workflow modernization | (Jersey, PostgreSQL, RabbitMQ, S3)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Led Visa RTSI dispute integration across 3 teams, designing event-driven tracking for post-chargeback lifecycle stages (second presentment, pre-arbitration, arbitration) to replace manual state reconciliation.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Decoupled dispute state from transaction journals by routing traffic to a standalone service via feature flags, eliminating leaked state dependencies on the ledger that complicated lifecycle tracking.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Cut ~50ms per dispute request by migrating Mastercom connectivity from ICM to direct client calls, removing a legacy service dependency.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Replaced non-prod simulators with scheme sandboxes, rolling out from beta to test (client-facing sandbox environment). Documented the migration process and shared runbooks across 5 teams in the Issuing org, enabling self-service migration.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Senior Software Engineer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Protocoding, Remote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Sept 2025 - Dec 2025</w:t>
      </w:r>
    </w:p>
    <w:p w:rsidR="00000000" w:rsidDel="00000000" w:rsidP="00000000" w:rsidRDefault="00000000" w:rsidRPr="00000000" w14:paraId="00000014">
      <w:pPr>
        <w:tabs>
          <w:tab w:val="right" w:leader="none" w:pos="10800"/>
        </w:tabs>
        <w:ind w:left="9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Project: - Aivre | (React Native, Go, Next.js, MongoDB, AI SDK)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Achieved 120 FPS sketch rendering by migrating gesture/pan/zoom logic to Reanimated worklets and optimizing canvas components with memoization, eliminating frame drops that previously caused multi-second delays on complex drawings.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Unified fragmented mobile auth flows behind OAuth, magic-link, and code-based entry points, hardening deep-link handling and JWT lifecycle controls to remove iOS App Store submission blockers.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Software Development Engineer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Fidelity National Information Services, Inc, Bellevue, WA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June 2024 - Sept 2025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9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Project: - Case-whisperer | (Next.js, FastAPI, DynamoDB, Kafka, EKS)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Reduced analyst case review time by 48% (35→18 min) by building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LLM-powered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summarization service that ingested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18M+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monthly cases downstream from Case-Manager via Kafka.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Evaluated 3 RAG architectures across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10K+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cases, recommending hybrid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BM25/ColBERT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approach that lifted relevance from 67% 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94%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Presented findings to leadership and secured $30K/month infrastructure investment.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a shared retrieval evaluation harness after RAG iteration became the bottleneck, letting teams compare strategies quickly and cutting development cycles from 4 weeks to 5 days.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Solved regulatory blocker by adding case-level decision tracking for document retrieval/ranking. Worked with Legal to set a 94% confidence threshold, routing edge cases to manual review.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infrastructure-as-code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pipeline using Terraform (DynamoDB, indexes, Kafka) and built CI workflows for JFrog artifact publishing. Unblocked team by creating custom Python base images with UV to bypass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restrictive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CI environment constraints.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10800"/>
        </w:tabs>
        <w:ind w:left="9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Project: - Finance Case-Manager | (Next.js, Spring Boot, PostgreSQL, DynamoDB, Kinesis, DMS, S3, EKS)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Delivered production Case-Manager MVP in 8 weeks, scaling from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50K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18M+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cases/month. Architected Spring Boot foundation as the sole greenfield service in the team's microservice ecosystem.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stream processing system handling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220M+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monthly transactions across 5+ tenants. Optimized Kinesis workers from 100 TPS baseline to 150 TPS peak, absorbing 4x traffic swings per tenant.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Migrated 3 core services from DynamoDB to PostgreSQL after complex query requirements and pagination limitations outgrew DynamoDB's indexing model.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Designed PCI-compliant encryption architecture using AWS KMS envelope encryption with a key caching strategy. Reduced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P95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latency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60% (500ms → 200ms)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Cut sandbox deploy and test cycles from 20 to 2 minutes by automating the build-push-deploy pipeline (Docker → ECR → ECS) and replacing cloud-based DMS with a local CDC setup. Wrote runbooks for on-call, debugging, and deployment failures across environments.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108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Software Engineer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Opstra Tech, Remote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Feb 2023 – May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Reduced customer document retrieval time from 45 minutes to under 5 minutes by building a searchable document platform processing 4000+ daily uploads. Replaced manual folder navigation across 50+ departmental silos with unified Elasticsearch-powered search serving 200+ internal users.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Prevented document processing outages during 3x traffic spikes by implementing backpressure control between SQS and Elasticsearch, eliminating 2 hours of manual recovery per incident.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Software Engineer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Shaili Pharma Chem, Ankleshwar, India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June 2019 - Dec 2020</w:t>
      </w:r>
    </w:p>
    <w:p w:rsidR="00000000" w:rsidDel="00000000" w:rsidP="00000000" w:rsidRDefault="00000000" w:rsidRPr="00000000" w14:paraId="0000002C">
      <w:pPr>
        <w:tabs>
          <w:tab w:val="right" w:leader="none" w:pos="10800"/>
        </w:tabs>
        <w:ind w:left="9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Project: - Inventory Insight System | (React.js, Spring Boot, PostgreSQL, Okta, Spring Security, JUnit, Mockito)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70" w:right="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inventory management platform for Purchase and Finance teams using React, Spring Boot, and PostgreSQL with role-based access control and real-time stock tracking.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808080" w:space="0" w:sz="6" w:val="single"/>
          <w:right w:color="000000" w:space="0" w:sz="0" w:val="none"/>
        </w:pBd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f497d"/>
          <w:sz w:val="20"/>
          <w:szCs w:val="20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1080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CodeLens: - LLM Code Context Engine | (Python, Tree-sitter, Gradle, Qdrant, FastEmbed, SQLite, Pytest, Docker)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Gives AI coding tools method-level context instead of whole files, parses Java into retrieval-ready chunks (methods, constructors, fields, class skeletons) using Tree-sitter.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Resolves symbols through Gradle source sets, project dependencies, external jars, and the JDK, giving the index build-aware type accuracy that naive parsing misses.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Handles cross-file reasoning that exceeds a single context window using Recursive Language Models (RLMs),  recursively decomposes symbol resolution, type hierarchies, and dependency chains across Gradle modules instead of cramming everything into one prompt.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Keeps the index current as code changes through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Qdrant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-based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ColBERT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retrieval with repo-wide rebuilds and file-level refresh.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TraceLens: - Log-to-Code Triage Engine | Python, LLMs, CodeLens, Qdrant, Java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an incident triage pipeline on top of CodeLens that traces production log windows to likely source-level execution paths, giving on-call engineers a debugging starting point in seconds instead of manual log-and-code navigation.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Connected runtime failures back to relevant Java code using indexed chunk retrieval, call-chain resolution, and build-aware symbol mapping across large Gradle monorepos.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Used LLM synthesis to generate investigation summaries from traced execution paths and surrounding code context, helping engineers quickly narrow likely failure points.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270" w:hanging="18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Reused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CodeLens's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incremental indexing and chunk retrieval pipeline to keep incident context aligned with an actively changing codebase.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808080" w:space="0" w:sz="6" w:val="single"/>
          <w:right w:color="000000" w:space="0" w:sz="0" w:val="none"/>
        </w:pBdr>
        <w:rPr>
          <w:rFonts w:ascii="Arial" w:cs="Arial" w:eastAsia="Arial" w:hAnsi="Arial"/>
          <w:b w:val="1"/>
          <w:bCs w:val="1"/>
          <w:smallCaps w:val="1"/>
          <w:color w:val="1f497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f497d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3D">
      <w:pPr>
        <w:tabs>
          <w:tab w:val="right" w:leader="none" w:pos="108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Illinois Institute of Technology, Chicago, 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Master of Computer Science</w:t>
      </w:r>
    </w:p>
    <w:p w:rsidR="00000000" w:rsidDel="00000000" w:rsidP="00000000" w:rsidRDefault="00000000" w:rsidRPr="00000000" w14:paraId="0000003F">
      <w:pPr>
        <w:tabs>
          <w:tab w:val="right" w:leader="none" w:pos="108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Parul University, Vadodara, Gujarat, India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Bachelor of Technology in Computer Science</w:t>
      </w:r>
    </w:p>
    <w:sectPr>
      <w:pgSz w:h="15810" w:w="12225" w:orient="portrait"/>
      <w:pgMar w:bottom="719" w:top="719" w:left="719" w:right="71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edang.inbox@gmail.com" TargetMode="External"/><Relationship Id="rId7" Type="http://schemas.openxmlformats.org/officeDocument/2006/relationships/hyperlink" Target="https://www.linkedin.com/in/barhate-vedan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